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Гарантии изготовителя</w:t>
      </w:r>
      <w:bookmarkStart w:id="0" w:name="_GoBack"/>
      <w:bookmarkEnd w:id="0"/>
    </w:p>
    <w:p w:rsidR="00205267" w:rsidRPr="00205267" w:rsidRDefault="00205267" w:rsidP="00205267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Предприятие-изготовитель гарантирует соответствие лесов требованиям настоящих технических условий при соблюдении потребителем условий эксплуатации, транспортирования и хранения.</w:t>
      </w:r>
    </w:p>
    <w:p w:rsidR="00205267" w:rsidRPr="00205267" w:rsidRDefault="00205267" w:rsidP="00205267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Срок гарантии устанавливается 12 месяцев со дня поступления потребителю.</w:t>
      </w:r>
    </w:p>
    <w:p w:rsidR="00205267" w:rsidRDefault="00205267"/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Транспортирование и хранение</w:t>
      </w:r>
    </w:p>
    <w:p w:rsidR="00205267" w:rsidRPr="00205267" w:rsidRDefault="00205267" w:rsidP="00205267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Транспортирование лесов может производиться транспортом любого вида в соответствии с действующими для данного вида транспорта правилами перевозки грузов.</w:t>
      </w:r>
    </w:p>
    <w:p w:rsidR="00205267" w:rsidRPr="00205267" w:rsidRDefault="00205267" w:rsidP="00205267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Перед транспортированием элементы лесов должны быть рассортированы по видам (поперечина, стойка, связь и т.д.) и связаны в пакеты проволокой диаметром не менее 4 мм в две нитки со скруткой не менее 2-х витков, а мелкие детали должны быть упакованы в ящики.</w:t>
      </w:r>
    </w:p>
    <w:p w:rsidR="00205267" w:rsidRPr="00205267" w:rsidRDefault="00205267" w:rsidP="00205267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допускается сбрасывать элементы с транспортных средств при разгрузке.</w:t>
      </w:r>
    </w:p>
    <w:p w:rsidR="00205267" w:rsidRPr="00205267" w:rsidRDefault="00205267" w:rsidP="00205267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Хранение лесов должно осуществляться по группе хранения ОЖ4.</w:t>
      </w:r>
    </w:p>
    <w:p w:rsidR="00205267" w:rsidRPr="00205267" w:rsidRDefault="00205267" w:rsidP="00205267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 длительном хранении элементы лесов должны быть уложены на подкладки, исключающие соприкосновение их с грунтом.</w:t>
      </w:r>
    </w:p>
    <w:p w:rsidR="00205267" w:rsidRPr="00205267" w:rsidRDefault="00205267" w:rsidP="00205267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Металлические поверхности лесов, не имеющие лакокрасочных покрытий, при длительном хранении должны подвергаться консервации солидолом С или другой равноценной смазкой.</w:t>
      </w:r>
    </w:p>
    <w:p w:rsidR="00205267" w:rsidRPr="00205267" w:rsidRDefault="00205267" w:rsidP="00205267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 транспортировке и хранении пакеты и ящики с элементами лесов могут быть уложены друг на друга не более, чем в три яруса.</w:t>
      </w:r>
    </w:p>
    <w:p w:rsidR="00205267" w:rsidRDefault="00205267"/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Указание мер безопасности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Леса должны быть надежно закреплены к стене по всей высоте. Произвольное снятие крепления лесов к стене не допускается.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Настил лесов должен иметь ровную поверхность.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Подъем людей на леса и спуск с них должен производиться только по лестницам.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лесах должны быть вывешены плакаты со схемами перемещения людей, размещения грузов и величин допускаемых нагрузок.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Подача на леса груза, превышающего допустимый проектом, запрещена.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 избежание повреждений стоек, расположенных у проездов, необходима установка защитных устройств.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Линии электропередач, расположенные ближе 5 м от лесов необходимо снять или заключить в деревянные короба.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Леса должны быть надежно заземлены и оборудованы грозозащитным устройством.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 монтаже и демонтаже лесов доступ людей в зону ведения работ, не занятых на этих работах, запрещен.</w:t>
      </w:r>
    </w:p>
    <w:p w:rsidR="00205267" w:rsidRPr="00205267" w:rsidRDefault="00205267" w:rsidP="00205267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Кроме требований мер безопасности настоящего паспорта необходимо также выполнять требования СНиП III- 4 — 80 «Техника безопасности в строительстве».</w:t>
      </w:r>
    </w:p>
    <w:p w:rsidR="00205267" w:rsidRDefault="00205267"/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Эксплуатация лесов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Металлические трубчатые леса допускаются в эксплуатацию только после окончания их монтажа, но не ранее сдачи их по акту лицу, назначенному для приемки главным инженером строительства с участием работника по технике безопасности.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2. При приемке установленных лесов в эксплуатацию проверяются:</w:t>
      </w:r>
    </w:p>
    <w:p w:rsidR="00205267" w:rsidRPr="00205267" w:rsidRDefault="00205267" w:rsidP="00205267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соответствие собранного каркаса монтажным схемам и правильность сборки узлов;</w:t>
      </w:r>
    </w:p>
    <w:p w:rsidR="00205267" w:rsidRPr="00205267" w:rsidRDefault="00205267" w:rsidP="00205267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правильность и надежность крепления лесов к стене;</w:t>
      </w:r>
    </w:p>
    <w:p w:rsidR="00205267" w:rsidRPr="00205267" w:rsidRDefault="00205267" w:rsidP="00205267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правильность и надежность </w:t>
      </w:r>
      <w:proofErr w:type="spellStart"/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опирания</w:t>
      </w:r>
      <w:proofErr w:type="spellEnd"/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лесов на основание;</w:t>
      </w:r>
    </w:p>
    <w:p w:rsidR="00205267" w:rsidRPr="00205267" w:rsidRDefault="00205267" w:rsidP="00205267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наличие и надежность ограждений на лесах;</w:t>
      </w:r>
    </w:p>
    <w:p w:rsidR="00205267" w:rsidRPr="00205267" w:rsidRDefault="00205267" w:rsidP="00205267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правильность установки </w:t>
      </w:r>
      <w:proofErr w:type="spellStart"/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молниеприемников</w:t>
      </w:r>
      <w:proofErr w:type="spellEnd"/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заземления лесов;</w:t>
      </w:r>
    </w:p>
    <w:p w:rsidR="00205267" w:rsidRPr="00205267" w:rsidRDefault="00205267" w:rsidP="00205267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обеспечение отвода воды от лесов.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Особое внимание следует обратить на вертикальность стоек и надежность крепления лесов к стене.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Состояние лесов должно ежедневно перед началом смены проверятся производителем работ или мастером, руководящим работами.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Настилы и лестницы лесов следует систематически очищать от мусора, остатков материалов, снега, наледи, а зимой посыпать песком.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Нагрузки на настилы лесов в процессе их эксплуатации не должны превышать пределов, указанных на схеме нагрузок (см. приложение).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случае необходимости увеличения или изменения расположения нагрузок:</w:t>
      </w:r>
    </w:p>
    <w:p w:rsidR="00205267" w:rsidRPr="00205267" w:rsidRDefault="00205267" w:rsidP="00205267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прочность лесов должна быть проверена расчетом;</w:t>
      </w:r>
    </w:p>
    <w:p w:rsidR="00205267" w:rsidRPr="00205267" w:rsidRDefault="00205267" w:rsidP="00205267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составить акт о проведении испытаний.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При подаче материалов на леса башенным краном непосредственно к рабочим местам необходимо соблюдать следующие правила:</w:t>
      </w:r>
    </w:p>
    <w:p w:rsidR="00205267" w:rsidRPr="00205267" w:rsidRDefault="00205267" w:rsidP="00205267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 избежание ударов грузом по лесам необходимо сначала производить подъем груза и передвижение крана, а затем поворот стрелы и плавное опускание груза;</w:t>
      </w:r>
    </w:p>
    <w:p w:rsidR="00205267" w:rsidRPr="00205267" w:rsidRDefault="00205267" w:rsidP="00205267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лесах должен находится сигнальщик, регулирующий подачу грузов подачей сигналов крановщику.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При подаче материалов на леса стационарным подъемником, каркас его должен крепиться к стене независимо от лесов.</w:t>
      </w:r>
    </w:p>
    <w:p w:rsidR="00205267" w:rsidRDefault="00205267"/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Монтаж и демонтаж лесов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Монтаж и демонтаж лесов должен производиться под руководством ответственного производителя работ, который должен:</w:t>
      </w:r>
    </w:p>
    <w:p w:rsidR="00205267" w:rsidRPr="00205267" w:rsidRDefault="00205267" w:rsidP="0020526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изучить конструкцию лесов;</w:t>
      </w:r>
    </w:p>
    <w:p w:rsidR="00205267" w:rsidRPr="00205267" w:rsidRDefault="00205267" w:rsidP="0020526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составить схему установки лесов для конкретного объекта;</w:t>
      </w:r>
    </w:p>
    <w:p w:rsidR="00205267" w:rsidRPr="00205267" w:rsidRDefault="00205267" w:rsidP="0020526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составить перечень потребных элементов;</w:t>
      </w:r>
    </w:p>
    <w:p w:rsidR="00205267" w:rsidRPr="00205267" w:rsidRDefault="00205267" w:rsidP="0020526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произвести согласно перечню приемку комплекта лесов со склада с отбраковкой поврежденных элементов.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Рабочие, монтирующие леса, предварительно должны быть ознакомлены с конструкцией и проинструктированы о порядке монтажа и способах крепления лесов к стене.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3. Леса должны монтироваться на спланированной и утрамбованной площадке, с которой должен быть предусмотрен отвод воды. Площадка под леса должна быть горизонтальной в продольном и поперечном направлениях.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Монтаж лесов следует производить, начиная от угла здания, соблюдая при этом последовательность установки отдельных элементов (см. приложение).</w:t>
      </w:r>
    </w:p>
    <w:p w:rsidR="00205267" w:rsidRDefault="00205267" w:rsidP="00205267">
      <w:pPr>
        <w:shd w:val="clear" w:color="auto" w:fill="FFFFFF"/>
        <w:spacing w:after="24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I Этап</w:t>
      </w:r>
    </w:p>
    <w:p w:rsidR="00205267" w:rsidRPr="00205267" w:rsidRDefault="00205267" w:rsidP="00205267">
      <w:pPr>
        <w:shd w:val="clear" w:color="auto" w:fill="FFFFFF"/>
        <w:spacing w:after="24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2047875"/>
            <wp:effectExtent l="0" t="0" r="0" b="9525"/>
            <wp:docPr id="10" name="Рисунок 10" descr="http://old2.balatongroup.ru/images/dokument_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ld2.balatongroup.ru/images/dokument_9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подготовленной площадке установить деревянные подкладки и башмаки.</w:t>
      </w:r>
    </w:p>
    <w:p w:rsidR="00205267" w:rsidRDefault="00205267" w:rsidP="00205267">
      <w:pPr>
        <w:shd w:val="clear" w:color="auto" w:fill="FFFFFF"/>
        <w:spacing w:after="24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II Этап</w:t>
      </w:r>
    </w:p>
    <w:p w:rsidR="00205267" w:rsidRPr="00205267" w:rsidRDefault="00205267" w:rsidP="00205267">
      <w:pPr>
        <w:shd w:val="clear" w:color="auto" w:fill="FFFFFF"/>
        <w:spacing w:after="24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1485900"/>
            <wp:effectExtent l="0" t="0" r="0" b="0"/>
            <wp:docPr id="11" name="Рисунок 11" descr="http://old2.balatongroup.ru/images/dokument_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ld2.balatongroup.ru/images/dokument_9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башмаки вставить попарно чередующиеся стойки (длинные — короткие, длинные — короткие) и закрепить их ригелями Л-6 и Л-9 первого яруса.</w:t>
      </w:r>
    </w:p>
    <w:p w:rsidR="00205267" w:rsidRDefault="00205267" w:rsidP="00205267">
      <w:pPr>
        <w:shd w:val="clear" w:color="auto" w:fill="FFFFFF"/>
        <w:spacing w:after="24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III Этап</w:t>
      </w:r>
    </w:p>
    <w:p w:rsidR="00205267" w:rsidRPr="00205267" w:rsidRDefault="00205267" w:rsidP="00205267">
      <w:pPr>
        <w:shd w:val="clear" w:color="auto" w:fill="FFFFFF"/>
        <w:spacing w:after="24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1971675"/>
            <wp:effectExtent l="0" t="0" r="0" b="9525"/>
            <wp:docPr id="12" name="Рисунок 12" descr="http://old2.balatongroup.ru/images/dokument_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ld2.balatongroup.ru/images/dokument_9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На высоте 2 м нарастить длинные стойки и закрепить их ригелями Л-6 и Л-9 и диагональными связями Л-5 второго яруса. На продольные ригеля уложить щиты настила и установить бортовые доски. Установить лестницу.</w:t>
      </w:r>
    </w:p>
    <w:p w:rsidR="00205267" w:rsidRPr="00205267" w:rsidRDefault="00205267" w:rsidP="00205267">
      <w:pPr>
        <w:shd w:val="clear" w:color="auto" w:fill="FFFFFF"/>
        <w:spacing w:after="24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555555"/>
          <w:sz w:val="30"/>
          <w:szCs w:val="30"/>
          <w:lang w:eastAsia="ru-RU"/>
        </w:rPr>
        <w:t>I</w:t>
      </w:r>
      <w:r>
        <w:rPr>
          <w:rFonts w:ascii="Arial" w:eastAsia="Times New Roman" w:hAnsi="Arial" w:cs="Arial"/>
          <w:color w:val="555555"/>
          <w:sz w:val="30"/>
          <w:szCs w:val="30"/>
          <w:lang w:val="en-US" w:eastAsia="ru-RU"/>
        </w:rPr>
        <w:t>V</w:t>
      </w:r>
      <w:r w:rsidRPr="00205267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Этап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2371725"/>
            <wp:effectExtent l="0" t="0" r="0" b="9525"/>
            <wp:docPr id="13" name="Рисунок 13" descr="http://old2.balatongroup.ru/images/dokument_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ld2.balatongroup.ru/images/dokument_89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Такой порядок монтажа повторить до необходимой высоты лесов.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двух крайних пролетах установить диагональные связи Л-5. В случае, если длина собираемых лесов превышает 50 м, диагональные связи Л-5 устанавливаются через 25 — 30 м в двух смежных пролетах.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Стойки лесов через крюки одинарные Л-14 и крюки двойные Л-13 при помощи анкеров Л-15 закрепляются к стене здания.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Крюки двойные Л-13 устанавливаются в местах стыков стоек и диагональных связей Л-5. Крюки одинарные устанавливаются в местах стыков стоек (см. приложение).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Стойки лесов Л-1 и Л-2 устанавливать по отвесу. Установку диагональных связей и закрепление лесов к стене производить одновременно с монтажом лесов.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 установке лесов для каменной кладки наращивание их производится постепенно по мере возведения кладки стен здания.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Укладку настилов и установку перил производить одновременно.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лесах для отделочных работ допускается укладывать щиты настила в шести ярусах, а для каменных только на двух верхних ярусах.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Лестничные секции должны монтироваться одновременно с лесами.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8. Демонтаж лесов допускается лишь после уборки с настилов остатков материалов, инвентаря и инструментов.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9. До начала демонтажа лесов производитель работ обязан осмотреть их и проинструктировать рабочих о последовательности и приемах разборки, а также о мерах, обеспечивающих безопасность работ.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10. Демонтаж лесов следует начинать с верхнего яруса в последовательности, обратной последовательности монтажа.</w:t>
      </w:r>
    </w:p>
    <w:p w:rsid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11. Демонтированные элементы перед перевозкой рассортировать. Крупногабаритные элементы связывать в пакеты.</w:t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Схема установки лесов Э-507, комплект 400 м2 (20х20)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3295650"/>
            <wp:effectExtent l="0" t="0" r="0" b="0"/>
            <wp:docPr id="17" name="Рисунок 17" descr="http://old2.balatongroup.ru/images/dokument_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ld2.balatongroup.ru/images/dokument_88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br/>
        <w:t xml:space="preserve">Условные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обозначения:</w:t>
      </w:r>
      <w:r>
        <w:rPr>
          <w:rFonts w:ascii="Arial" w:hAnsi="Arial" w:cs="Arial"/>
          <w:color w:val="555555"/>
          <w:sz w:val="20"/>
          <w:szCs w:val="20"/>
        </w:rPr>
        <w:br/>
        <w:t>—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— деревянные подкладки;</w:t>
      </w:r>
      <w:r>
        <w:rPr>
          <w:rFonts w:ascii="Arial" w:hAnsi="Arial" w:cs="Arial"/>
          <w:color w:val="555555"/>
          <w:sz w:val="20"/>
          <w:szCs w:val="20"/>
        </w:rPr>
        <w:br/>
        <w:t>х — стыки стоек</w:t>
      </w:r>
      <w:r>
        <w:rPr>
          <w:rFonts w:ascii="Arial" w:hAnsi="Arial" w:cs="Arial"/>
          <w:color w:val="555555"/>
          <w:sz w:val="20"/>
          <w:szCs w:val="20"/>
        </w:rPr>
        <w:br/>
        <w:t>1. Стойка Л-1 4м;</w:t>
      </w:r>
      <w:r>
        <w:rPr>
          <w:rFonts w:ascii="Arial" w:hAnsi="Arial" w:cs="Arial"/>
          <w:color w:val="555555"/>
          <w:sz w:val="20"/>
          <w:szCs w:val="20"/>
        </w:rPr>
        <w:br/>
        <w:t>2. Стойка Л-2 2м;</w:t>
      </w:r>
      <w:r>
        <w:rPr>
          <w:rFonts w:ascii="Arial" w:hAnsi="Arial" w:cs="Arial"/>
          <w:color w:val="555555"/>
          <w:sz w:val="20"/>
          <w:szCs w:val="20"/>
        </w:rPr>
        <w:br/>
        <w:t>3. Ригель Л-6 2м;</w:t>
      </w:r>
      <w:r>
        <w:rPr>
          <w:rFonts w:ascii="Arial" w:hAnsi="Arial" w:cs="Arial"/>
          <w:color w:val="555555"/>
          <w:sz w:val="20"/>
          <w:szCs w:val="20"/>
        </w:rPr>
        <w:br/>
        <w:t>4. Ригель Л-6 1,5м;</w:t>
      </w:r>
      <w:r>
        <w:rPr>
          <w:rFonts w:ascii="Arial" w:hAnsi="Arial" w:cs="Arial"/>
          <w:color w:val="555555"/>
          <w:sz w:val="20"/>
          <w:szCs w:val="20"/>
        </w:rPr>
        <w:br/>
        <w:t>5. Связь Л-5 2,4м;</w:t>
      </w:r>
      <w:r>
        <w:rPr>
          <w:rFonts w:ascii="Arial" w:hAnsi="Arial" w:cs="Arial"/>
          <w:color w:val="555555"/>
          <w:sz w:val="20"/>
          <w:szCs w:val="20"/>
        </w:rPr>
        <w:br/>
        <w:t>6. Башмак Л-4;</w:t>
      </w:r>
      <w:r>
        <w:rPr>
          <w:rFonts w:ascii="Arial" w:hAnsi="Arial" w:cs="Arial"/>
          <w:color w:val="555555"/>
          <w:sz w:val="20"/>
          <w:szCs w:val="20"/>
        </w:rPr>
        <w:br/>
        <w:t>7. Крюк двойной Л-13.</w:t>
      </w:r>
      <w:r>
        <w:rPr>
          <w:rFonts w:ascii="Arial" w:hAnsi="Arial" w:cs="Arial"/>
          <w:color w:val="555555"/>
          <w:sz w:val="20"/>
          <w:szCs w:val="20"/>
        </w:rPr>
        <w:br/>
        <w:t>Крюки Л-14 ставятся в местах стыков стоек.</w:t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Нагрузки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Расчетные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нагрузки:</w:t>
      </w:r>
      <w:r>
        <w:rPr>
          <w:rFonts w:ascii="Arial" w:hAnsi="Arial" w:cs="Arial"/>
          <w:color w:val="555555"/>
          <w:sz w:val="20"/>
          <w:szCs w:val="20"/>
        </w:rPr>
        <w:br/>
        <w:t>Р</w:t>
      </w:r>
      <w:proofErr w:type="gramEnd"/>
      <w:r>
        <w:rPr>
          <w:rFonts w:ascii="Arial" w:hAnsi="Arial" w:cs="Arial"/>
          <w:color w:val="555555"/>
          <w:sz w:val="20"/>
          <w:szCs w:val="20"/>
        </w:rPr>
        <w:t>1= 750 кг — Вес пакета красного кирпича</w:t>
      </w:r>
      <w:r>
        <w:rPr>
          <w:rFonts w:ascii="Arial" w:hAnsi="Arial" w:cs="Arial"/>
          <w:color w:val="555555"/>
          <w:sz w:val="20"/>
          <w:szCs w:val="20"/>
        </w:rPr>
        <w:br/>
        <w:t>Р2= 1100 кг — Вес пакета силикатного кирпича</w:t>
      </w:r>
      <w:r>
        <w:rPr>
          <w:rFonts w:ascii="Arial" w:hAnsi="Arial" w:cs="Arial"/>
          <w:color w:val="555555"/>
          <w:sz w:val="20"/>
          <w:szCs w:val="20"/>
        </w:rPr>
        <w:br/>
        <w:t>Р3= 200 кг — Вес ящика с раствором</w:t>
      </w:r>
      <w:r>
        <w:rPr>
          <w:rFonts w:ascii="Arial" w:hAnsi="Arial" w:cs="Arial"/>
          <w:color w:val="555555"/>
          <w:sz w:val="20"/>
          <w:szCs w:val="20"/>
        </w:rPr>
        <w:br/>
        <w:t>Р5= 100 кг — Вес рабочего с инструментом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Примечания:</w:t>
      </w:r>
      <w:r>
        <w:rPr>
          <w:rFonts w:ascii="Arial" w:hAnsi="Arial" w:cs="Arial"/>
          <w:color w:val="555555"/>
          <w:sz w:val="20"/>
          <w:szCs w:val="20"/>
        </w:rPr>
        <w:br/>
        <w:t>Нагрузки по схемам 1 и 2 относятся к лесам для каменных работ и допускаются только в одном верхнем ярусе.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Схема нагрузок 1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1752600"/>
            <wp:effectExtent l="0" t="0" r="0" b="0"/>
            <wp:docPr id="16" name="Рисунок 16" descr="http://old2.balatongroup.ru/images/dokument_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d2.balatongroup.ru/images/dokument_8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Схема нагрузок 2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1628775"/>
            <wp:effectExtent l="0" t="0" r="0" b="9525"/>
            <wp:docPr id="15" name="Рисунок 15" descr="http://old2.balatongroup.ru/images/dokument_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ld2.balatongroup.ru/images/dokument_86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Схема нагрузок 3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1647825"/>
            <wp:effectExtent l="0" t="0" r="0" b="9525"/>
            <wp:docPr id="14" name="Рисунок 14" descr="http://old2.balatongroup.ru/images/dokument_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ld2.balatongroup.ru/images/dokument_85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Сборочные элементы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Стойки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— вертикальные несущие элементы каркаса лесов. Соединяются между собой по принципу «труба в трубу». Рядовые стойки Л-1 выпускаются длиной 4 м,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доборные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Л-2 — 2 м.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Ригель Л-6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— горизонтальные элементы, соединяющие стойки лесов между собой вдоль фасада здания. Служат основанием для рабочих настилов, перилами ограждения рабочих ярусов и лестничных маршей. Соединяются со стойкой при помощи наваренного штыря, вставляемого в патрубок на стойке. Выпускаются длиной 1,92 м.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Ригель Л-9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— горизонтальные элементы, соединяющие стойки лесов между собой перпендикулярно фасаду здания. Служат также торцевыми перилами рабочих ярусов. Соединяются со стойкой при помощи наваренного штыря, вставляемого в патрубок на стойке. Выпускаются длиной 1,52 м.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lastRenderedPageBreak/>
        <w:t>Связи Л-5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— горизонтальные элементы, обеспечивающие жесткость каркаса лесов в плане. Ставятся по диагонали в горизонтальной плоскости и соединяются со стойкой при помощи наваренного штыря, вставляемого в патрубок на стойке. Выпускаются длиной 2,4 м.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Башмак Л-4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— нерегулируемое по высоте основание нижнего ряда вертикальных стоек лесов.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Анкер Л-15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— крепежный элемент, обеспечивающий привязку каркаса лесов к фасаду здания. Анкера рассчитаны на многоразовое применение.</w:t>
      </w:r>
    </w:p>
    <w:p w:rsidR="00205267" w:rsidRDefault="00205267" w:rsidP="0020526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Крюки Л-13, Л-14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— крепежные элементы, обеспечивающие крепление стоек лесов к анкерам Л-15.</w:t>
      </w:r>
    </w:p>
    <w:p w:rsidR="00205267" w:rsidRDefault="00205267"/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Устройство и принцип работы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Леса — вариант сборки для отделочных работ (см. приложение) — представляют собой конструкцию, собираемую из следующих элементов: стоек L=4,0 м, стоек L=2,0 м, ригелей L=1,5 м, ригелей L=1,9 м, связей L=2,4 м, башмаков, крюков двойных, крюков одинарных, анкеров.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Нижний ряд стоек опирается на башмаки, устанавливаемые попарно на деревянные подкладки и закрепляемые к подкладкам костылями.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целью повышения устойчивости лесов стыки стоек должны находится в разных уровнях, в пределах первого и </w:t>
      </w:r>
      <w:proofErr w:type="spellStart"/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самоговерхнего</w:t>
      </w:r>
      <w:proofErr w:type="spellEnd"/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яруса двухметровые и четырехметровые стойки чередуются. В промежуточных ярусах леса наращиваются только четырехметровыми стойками.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Стойки с помощью ригелей Л-6 и Л-9 соединяются между собой, образуя пространственную конструкцию. Стойки посредством крюков двойных, крюков одинарных и анкеров соединяются со стеной ремонтируемого здания.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Настил на ярусах лесов собирается из деревянных щитов, изготовленных из древесины хвойных пород. Щиты настила устанавливаются на ригеля.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варианте сборки лесов для отделочных работ настил может собираться на шести ярусах, из которых три яруса рабочих, и могут быть загружены материалами по схеме расчетных нагрузок. Работы в пределах одной вертикали допускаются только в одном ярусе.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Подъем людей на леса осуществляется по лестницам. Верхний конец лестниц на крюках навешивается на поперечины, а нижний опирается на настил.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Жесткость лесов обеспечивается установкой диагональных связей, соединяемых со стойками. Диагональные связи устанавливаются в двух крайних пролетах.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рабочих ярусах лесов кроме настилов устанавливаются ограждения.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защиты от атмосферных электрических разрядов леса оборудуются заземлением, соединенным со стойкой при помощи шины.</w:t>
      </w:r>
    </w:p>
    <w:p w:rsidR="00205267" w:rsidRPr="00205267" w:rsidRDefault="00205267" w:rsidP="0020526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Леса — вариант сборки для каменных работ — собираются из элементов лесов для отделочных работ. Различие заключается в том, что:</w:t>
      </w:r>
    </w:p>
    <w:p w:rsidR="00205267" w:rsidRPr="00205267" w:rsidRDefault="00205267" w:rsidP="00205267">
      <w:pPr>
        <w:numPr>
          <w:ilvl w:val="0"/>
          <w:numId w:val="8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крепление лесов для каменных работ к стене осуществляется закладными, закладываемыми в стену в процессе кладки;</w:t>
      </w:r>
    </w:p>
    <w:p w:rsidR="00205267" w:rsidRPr="00205267" w:rsidRDefault="00205267" w:rsidP="00205267">
      <w:pPr>
        <w:numPr>
          <w:ilvl w:val="0"/>
          <w:numId w:val="8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052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настил может собираться только на двух ярусах — верхний рабочий и нижний защитный; расстояние между этими настилами по высоте должно быть не более 6 м.</w:t>
      </w:r>
    </w:p>
    <w:p w:rsidR="00205267" w:rsidRDefault="00205267"/>
    <w:p w:rsidR="00205267" w:rsidRPr="00205267" w:rsidRDefault="00205267">
      <w:pPr>
        <w:rPr>
          <w:sz w:val="36"/>
          <w:szCs w:val="36"/>
        </w:rPr>
      </w:pPr>
      <w:r w:rsidRPr="00205267">
        <w:rPr>
          <w:sz w:val="36"/>
          <w:szCs w:val="36"/>
        </w:rPr>
        <w:t>Элементы лесов</w:t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Стойка Л-1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1009650"/>
            <wp:effectExtent l="0" t="0" r="0" b="0"/>
            <wp:docPr id="9" name="Рисунок 9" descr="http://old2.balatongroup.ru/images/dokument_1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2.balatongroup.ru/images/dokument_101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Стойка Л-2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57500" cy="990600"/>
            <wp:effectExtent l="0" t="0" r="0" b="0"/>
            <wp:docPr id="8" name="Рисунок 8" descr="http://old2.balatongroup.ru/images/dokument_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2.balatongroup.ru/images/dokument_100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Связь диагональная Л-5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962025"/>
            <wp:effectExtent l="0" t="0" r="0" b="9525"/>
            <wp:docPr id="7" name="Рисунок 7" descr="http://old2.balatongroup.ru/images/dokument_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2.balatongroup.ru/images/dokument_99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Ригель Л-6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981075"/>
            <wp:effectExtent l="0" t="0" r="0" b="9525"/>
            <wp:docPr id="6" name="Рисунок 6" descr="http://old2.balatongroup.ru/images/dokument_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2.balatongroup.ru/images/dokument_98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Ригель Л-9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4191000" cy="1000125"/>
            <wp:effectExtent l="0" t="0" r="0" b="9525"/>
            <wp:docPr id="5" name="Рисунок 5" descr="http://old2.balatongroup.ru/images/dokument_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2.balatongroup.ru/images/dokument_97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lastRenderedPageBreak/>
        <w:t>Крюк двойной Л-13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57500" cy="1924050"/>
            <wp:effectExtent l="0" t="0" r="0" b="0"/>
            <wp:docPr id="4" name="Рисунок 4" descr="http://old2.balatongroup.ru/images/dokument_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2.balatongroup.ru/images/dokument_96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Крюк Л-14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57500" cy="1419225"/>
            <wp:effectExtent l="0" t="0" r="0" b="9525"/>
            <wp:docPr id="3" name="Рисунок 3" descr="http://old2.balatongroup.ru/images/dokument_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2.balatongroup.ru/images/dokument_95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Анкер Л-15 для отделочных работ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57500" cy="1200150"/>
            <wp:effectExtent l="0" t="0" r="0" b="0"/>
            <wp:docPr id="2" name="Рисунок 2" descr="http://old2.balatongroup.ru/images/dokument_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2.balatongroup.ru/images/dokument_94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 w:rsidP="00205267">
      <w:pPr>
        <w:pStyle w:val="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b w:val="0"/>
          <w:bCs w:val="0"/>
          <w:color w:val="555555"/>
          <w:sz w:val="30"/>
          <w:szCs w:val="30"/>
        </w:rPr>
        <w:t>Башмак Л-4</w:t>
      </w:r>
    </w:p>
    <w:p w:rsidR="00205267" w:rsidRDefault="00205267" w:rsidP="0020526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1428750" cy="1990725"/>
            <wp:effectExtent l="0" t="0" r="0" b="9525"/>
            <wp:docPr id="1" name="Рисунок 1" descr="http://old2.balatongroup.ru/images/dokument_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d2.balatongroup.ru/images/dokument_93_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7" w:rsidRDefault="00205267"/>
    <w:sectPr w:rsidR="002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7D4"/>
    <w:multiLevelType w:val="multilevel"/>
    <w:tmpl w:val="1D6A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5413"/>
    <w:multiLevelType w:val="multilevel"/>
    <w:tmpl w:val="4AFE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E20BF"/>
    <w:multiLevelType w:val="multilevel"/>
    <w:tmpl w:val="0C2E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4D57"/>
    <w:multiLevelType w:val="multilevel"/>
    <w:tmpl w:val="6AD0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C4EBA"/>
    <w:multiLevelType w:val="multilevel"/>
    <w:tmpl w:val="D386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D4449"/>
    <w:multiLevelType w:val="multilevel"/>
    <w:tmpl w:val="CDA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C6F58"/>
    <w:multiLevelType w:val="multilevel"/>
    <w:tmpl w:val="ABB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713FA4"/>
    <w:multiLevelType w:val="multilevel"/>
    <w:tmpl w:val="57CA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4"/>
    <w:rsid w:val="00205267"/>
    <w:rsid w:val="00795084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25FB-A23C-47CE-871B-AE51E1F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5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267"/>
    <w:rPr>
      <w:b/>
      <w:bCs/>
    </w:rPr>
  </w:style>
  <w:style w:type="character" w:customStyle="1" w:styleId="apple-converted-space">
    <w:name w:val="apple-converted-space"/>
    <w:basedOn w:val="a0"/>
    <w:rsid w:val="0020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1669</Words>
  <Characters>9515</Characters>
  <Application>Microsoft Office Word</Application>
  <DocSecurity>0</DocSecurity>
  <Lines>79</Lines>
  <Paragraphs>22</Paragraphs>
  <ScaleCrop>false</ScaleCrop>
  <Company>Grizli777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2015-05-22T11:52:00Z</dcterms:created>
  <dcterms:modified xsi:type="dcterms:W3CDTF">2015-05-22T11:57:00Z</dcterms:modified>
</cp:coreProperties>
</file>